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BC" w:rsidRPr="004C4DBC" w:rsidRDefault="004C4DBC" w:rsidP="004C4DBC">
      <w:pPr>
        <w:pStyle w:val="Heading2"/>
        <w:numPr>
          <w:ilvl w:val="0"/>
          <w:numId w:val="0"/>
        </w:numPr>
        <w:ind w:left="576"/>
        <w:jc w:val="center"/>
        <w:rPr>
          <w:rFonts w:ascii="Arial" w:hAnsi="Arial" w:cs="Arial"/>
          <w:sz w:val="24"/>
          <w:szCs w:val="24"/>
          <w:u w:val="single"/>
        </w:rPr>
      </w:pPr>
      <w:bookmarkStart w:id="0" w:name="_Toc505696902"/>
      <w:r w:rsidRPr="004C4DBC">
        <w:rPr>
          <w:rFonts w:ascii="Arial" w:hAnsi="Arial" w:cs="Arial"/>
          <w:sz w:val="24"/>
          <w:szCs w:val="24"/>
          <w:u w:val="single"/>
        </w:rPr>
        <w:t>The Old Fire Station Surgery</w:t>
      </w:r>
    </w:p>
    <w:p w:rsidR="004C4DBC" w:rsidRPr="004C4DBC" w:rsidRDefault="004C4DBC" w:rsidP="004C4DBC">
      <w:pPr>
        <w:jc w:val="center"/>
        <w:rPr>
          <w:u w:val="single"/>
          <w:lang w:val="en-US" w:eastAsia="en-US"/>
        </w:rPr>
      </w:pPr>
      <w:r w:rsidRPr="004C4DBC">
        <w:rPr>
          <w:u w:val="single"/>
          <w:lang w:val="en-US" w:eastAsia="en-US"/>
        </w:rPr>
        <w:t>SAR Policy</w:t>
      </w:r>
    </w:p>
    <w:p w:rsidR="004C4DBC" w:rsidRDefault="004C4DBC" w:rsidP="004C4DBC">
      <w:pPr>
        <w:pStyle w:val="Heading2"/>
        <w:numPr>
          <w:ilvl w:val="0"/>
          <w:numId w:val="0"/>
        </w:numPr>
        <w:ind w:left="576"/>
        <w:rPr>
          <w:rFonts w:ascii="Arial" w:hAnsi="Arial" w:cs="Arial"/>
          <w:sz w:val="24"/>
          <w:szCs w:val="24"/>
        </w:rPr>
      </w:pPr>
      <w:r>
        <w:rPr>
          <w:rFonts w:ascii="Arial" w:hAnsi="Arial" w:cs="Arial"/>
          <w:sz w:val="24"/>
          <w:szCs w:val="24"/>
        </w:rPr>
        <w:t>Data subject’s rights</w:t>
      </w:r>
      <w:bookmarkEnd w:id="0"/>
    </w:p>
    <w:p w:rsidR="004C4DBC" w:rsidRDefault="004C4DBC" w:rsidP="004C4DBC">
      <w:pPr>
        <w:rPr>
          <w:rFonts w:ascii="Arial" w:hAnsi="Arial" w:cs="Arial"/>
          <w:sz w:val="22"/>
          <w:szCs w:val="22"/>
          <w:lang w:val="en-US"/>
        </w:rPr>
      </w:pPr>
    </w:p>
    <w:p w:rsidR="004C4DBC" w:rsidRDefault="004C4DBC" w:rsidP="004C4DBC">
      <w:pPr>
        <w:rPr>
          <w:rFonts w:ascii="Arial" w:hAnsi="Arial" w:cs="Arial"/>
          <w:sz w:val="22"/>
          <w:szCs w:val="22"/>
          <w:lang w:val="en-US"/>
        </w:rPr>
      </w:pPr>
      <w:r>
        <w:rPr>
          <w:rFonts w:ascii="Arial" w:hAnsi="Arial" w:cs="Arial"/>
          <w:sz w:val="22"/>
          <w:szCs w:val="22"/>
          <w:lang w:val="en-US"/>
        </w:rPr>
        <w:t>All data subjects have a right to access their data and any supplementary information held by The Old Fire Station Surgery. Data subjects have a right to receive:</w:t>
      </w:r>
    </w:p>
    <w:p w:rsidR="004C4DBC" w:rsidRDefault="004C4DBC" w:rsidP="004C4DBC">
      <w:pPr>
        <w:rPr>
          <w:rFonts w:ascii="Arial" w:hAnsi="Arial" w:cs="Arial"/>
          <w:sz w:val="22"/>
          <w:szCs w:val="22"/>
          <w:lang w:val="en-US"/>
        </w:rPr>
      </w:pPr>
    </w:p>
    <w:p w:rsidR="004C4DBC" w:rsidRDefault="004C4DBC" w:rsidP="004C4DBC">
      <w:pPr>
        <w:pStyle w:val="ListParagraph"/>
        <w:numPr>
          <w:ilvl w:val="0"/>
          <w:numId w:val="2"/>
        </w:numPr>
        <w:rPr>
          <w:rFonts w:ascii="Arial" w:hAnsi="Arial" w:cs="Arial"/>
          <w:lang w:val="en-US"/>
        </w:rPr>
      </w:pPr>
      <w:r>
        <w:rPr>
          <w:rFonts w:ascii="Arial" w:hAnsi="Arial" w:cs="Arial"/>
          <w:lang w:val="en-US"/>
        </w:rPr>
        <w:t>Confirmation that their data is being processed</w:t>
      </w:r>
    </w:p>
    <w:p w:rsidR="004C4DBC" w:rsidRDefault="004C4DBC" w:rsidP="004C4DBC">
      <w:pPr>
        <w:pStyle w:val="ListParagraph"/>
        <w:numPr>
          <w:ilvl w:val="0"/>
          <w:numId w:val="2"/>
        </w:numPr>
        <w:rPr>
          <w:rFonts w:ascii="Arial" w:hAnsi="Arial" w:cs="Arial"/>
          <w:lang w:val="en-US"/>
        </w:rPr>
      </w:pPr>
      <w:r>
        <w:rPr>
          <w:rFonts w:ascii="Arial" w:hAnsi="Arial" w:cs="Arial"/>
          <w:lang w:val="en-US"/>
        </w:rPr>
        <w:t>Access to their personal data</w:t>
      </w:r>
    </w:p>
    <w:p w:rsidR="004C4DBC" w:rsidRDefault="004C4DBC" w:rsidP="004C4DBC">
      <w:pPr>
        <w:pStyle w:val="ListParagraph"/>
        <w:numPr>
          <w:ilvl w:val="0"/>
          <w:numId w:val="2"/>
        </w:numPr>
        <w:rPr>
          <w:rFonts w:ascii="Arial" w:hAnsi="Arial" w:cs="Arial"/>
          <w:lang w:val="en-US"/>
        </w:rPr>
      </w:pPr>
      <w:r>
        <w:rPr>
          <w:rFonts w:ascii="Arial" w:hAnsi="Arial" w:cs="Arial"/>
          <w:lang w:val="en-US"/>
        </w:rPr>
        <w:t>Access to any other supplementary information held about them</w:t>
      </w:r>
    </w:p>
    <w:p w:rsidR="004C4DBC" w:rsidRDefault="004C4DBC" w:rsidP="004C4DBC">
      <w:pPr>
        <w:rPr>
          <w:rFonts w:ascii="Arial" w:hAnsi="Arial" w:cs="Arial"/>
          <w:sz w:val="22"/>
          <w:szCs w:val="22"/>
          <w:lang w:val="en-US"/>
        </w:rPr>
      </w:pPr>
    </w:p>
    <w:p w:rsidR="004C4DBC" w:rsidRDefault="004C4DBC" w:rsidP="004C4DBC">
      <w:pPr>
        <w:rPr>
          <w:rFonts w:ascii="Arial" w:hAnsi="Arial" w:cs="Arial"/>
          <w:sz w:val="22"/>
          <w:szCs w:val="22"/>
          <w:lang w:val="en-US"/>
        </w:rPr>
      </w:pPr>
      <w:r>
        <w:rPr>
          <w:rFonts w:ascii="Arial" w:hAnsi="Arial" w:cs="Arial"/>
          <w:sz w:val="22"/>
          <w:szCs w:val="22"/>
          <w:lang w:val="en-US"/>
        </w:rPr>
        <w:t>The purpose for granting access to data subjects is to enable them to verify the lawfulness of the processing of data held about them.</w:t>
      </w:r>
    </w:p>
    <w:p w:rsidR="004C4DBC" w:rsidRDefault="004C4DBC" w:rsidP="004C4DBC">
      <w:pPr>
        <w:pStyle w:val="Heading2"/>
        <w:numPr>
          <w:ilvl w:val="0"/>
          <w:numId w:val="0"/>
        </w:numPr>
        <w:ind w:left="576"/>
        <w:rPr>
          <w:rFonts w:ascii="Arial" w:hAnsi="Arial" w:cs="Arial"/>
          <w:sz w:val="24"/>
          <w:szCs w:val="24"/>
        </w:rPr>
      </w:pPr>
      <w:bookmarkStart w:id="1" w:name="_Toc505696903"/>
      <w:r>
        <w:rPr>
          <w:rFonts w:ascii="Arial" w:hAnsi="Arial" w:cs="Arial"/>
          <w:sz w:val="24"/>
          <w:szCs w:val="24"/>
        </w:rPr>
        <w:t>Fees</w:t>
      </w:r>
      <w:bookmarkEnd w:id="1"/>
    </w:p>
    <w:p w:rsidR="004C4DBC" w:rsidRDefault="004C4DBC" w:rsidP="004C4DBC">
      <w:pPr>
        <w:rPr>
          <w:rFonts w:ascii="Arial" w:hAnsi="Arial" w:cs="Arial"/>
          <w:sz w:val="22"/>
          <w:szCs w:val="22"/>
          <w:lang w:val="en-US"/>
        </w:rPr>
      </w:pPr>
    </w:p>
    <w:p w:rsidR="004C4DBC" w:rsidRDefault="004C4DBC" w:rsidP="004C4DBC">
      <w:pPr>
        <w:rPr>
          <w:rFonts w:ascii="Arial" w:hAnsi="Arial" w:cs="Arial"/>
          <w:sz w:val="22"/>
          <w:szCs w:val="22"/>
          <w:lang w:val="en-US"/>
        </w:rPr>
      </w:pPr>
      <w:r>
        <w:rPr>
          <w:rFonts w:ascii="Arial" w:hAnsi="Arial" w:cs="Arial"/>
          <w:sz w:val="22"/>
          <w:szCs w:val="22"/>
          <w:lang w:val="en-US"/>
        </w:rPr>
        <w:t>Under the GDPR, The Old Fire Station Surgery is not permitted to charge data subjects for providing a copy of the requested information; this must be done free of charge.  That said, should a request be deemed either “unfounded, excessive or repetitive”, a reasonable fee may be charged. Furthermore, a reasonable fee may be charged when requests for additional copies of the same information are made. However, this does not permit the practice to charge for all subsequent access requests.</w:t>
      </w:r>
    </w:p>
    <w:p w:rsidR="004C4DBC" w:rsidRDefault="004C4DBC" w:rsidP="004C4DBC">
      <w:pPr>
        <w:rPr>
          <w:rFonts w:ascii="Arial" w:hAnsi="Arial" w:cs="Arial"/>
          <w:sz w:val="22"/>
          <w:szCs w:val="22"/>
          <w:lang w:val="en-US"/>
        </w:rPr>
      </w:pPr>
    </w:p>
    <w:p w:rsidR="004C4DBC" w:rsidRDefault="004C4DBC" w:rsidP="004C4DBC">
      <w:pPr>
        <w:rPr>
          <w:rFonts w:ascii="Arial" w:hAnsi="Arial" w:cs="Arial"/>
          <w:sz w:val="22"/>
          <w:szCs w:val="22"/>
          <w:lang w:val="en-US"/>
        </w:rPr>
      </w:pPr>
      <w:r>
        <w:rPr>
          <w:rFonts w:ascii="Arial" w:hAnsi="Arial" w:cs="Arial"/>
          <w:sz w:val="22"/>
          <w:szCs w:val="22"/>
          <w:lang w:val="en-US"/>
        </w:rPr>
        <w:t xml:space="preserve">The fee is to be based on the administrative costs associated with providing the requested information.  </w:t>
      </w:r>
    </w:p>
    <w:p w:rsidR="004C4DBC" w:rsidRDefault="004C4DBC" w:rsidP="004C4DBC">
      <w:pPr>
        <w:pStyle w:val="Heading2"/>
        <w:numPr>
          <w:ilvl w:val="0"/>
          <w:numId w:val="0"/>
        </w:numPr>
        <w:ind w:left="576"/>
        <w:rPr>
          <w:rFonts w:ascii="Arial" w:hAnsi="Arial" w:cs="Arial"/>
          <w:sz w:val="24"/>
          <w:szCs w:val="24"/>
        </w:rPr>
      </w:pPr>
      <w:bookmarkStart w:id="2" w:name="_Toc505696904"/>
      <w:r>
        <w:rPr>
          <w:rFonts w:ascii="Arial" w:hAnsi="Arial" w:cs="Arial"/>
          <w:sz w:val="24"/>
          <w:szCs w:val="24"/>
        </w:rPr>
        <w:t>Responding to a data subject access request</w:t>
      </w:r>
      <w:bookmarkEnd w:id="2"/>
    </w:p>
    <w:p w:rsidR="004C4DBC" w:rsidRDefault="004C4DBC" w:rsidP="004C4DBC">
      <w:pPr>
        <w:rPr>
          <w:lang w:val="en-US" w:eastAsia="en-US"/>
        </w:rPr>
      </w:pPr>
    </w:p>
    <w:p w:rsidR="004C4DBC" w:rsidRDefault="004C4DBC" w:rsidP="004C4DBC">
      <w:pPr>
        <w:rPr>
          <w:rFonts w:ascii="Arial" w:hAnsi="Arial" w:cs="Arial"/>
          <w:sz w:val="22"/>
          <w:szCs w:val="22"/>
          <w:lang w:val="en-US" w:eastAsia="en-US"/>
        </w:rPr>
      </w:pPr>
      <w:r>
        <w:rPr>
          <w:rFonts w:ascii="Arial" w:hAnsi="Arial" w:cs="Arial"/>
          <w:sz w:val="22"/>
          <w:szCs w:val="22"/>
          <w:lang w:val="en-US" w:eastAsia="en-US"/>
        </w:rPr>
        <w:t xml:space="preserve">In accordance with the GDPR, data controllers must respond to all data subject access requests within one month of receiving the request (previous subject access requests had a response time of 40 days).  </w:t>
      </w:r>
    </w:p>
    <w:p w:rsidR="004C4DBC" w:rsidRDefault="004C4DBC" w:rsidP="004C4DBC">
      <w:pPr>
        <w:rPr>
          <w:rFonts w:ascii="Arial" w:hAnsi="Arial" w:cs="Arial"/>
          <w:sz w:val="22"/>
          <w:szCs w:val="22"/>
          <w:lang w:val="en-US" w:eastAsia="en-US"/>
        </w:rPr>
      </w:pPr>
    </w:p>
    <w:p w:rsidR="004C4DBC" w:rsidRDefault="004C4DBC" w:rsidP="004C4DBC">
      <w:pPr>
        <w:rPr>
          <w:rFonts w:ascii="Arial" w:hAnsi="Arial" w:cs="Arial"/>
          <w:sz w:val="22"/>
          <w:szCs w:val="22"/>
          <w:lang w:val="en-US" w:eastAsia="en-US"/>
        </w:rPr>
      </w:pPr>
      <w:r>
        <w:rPr>
          <w:rFonts w:ascii="Arial" w:hAnsi="Arial" w:cs="Arial"/>
          <w:sz w:val="22"/>
          <w:szCs w:val="22"/>
          <w:lang w:val="en-US" w:eastAsia="en-US"/>
        </w:rPr>
        <w:t xml:space="preserve">In the case of complex or multiple requests, the data controller may extend the response time by a period of two months. In such instances, the data subject must be informed and the reasons for the delay explained.  </w:t>
      </w:r>
    </w:p>
    <w:p w:rsidR="004C4DBC" w:rsidRDefault="004C4DBC" w:rsidP="004C4DBC">
      <w:pPr>
        <w:rPr>
          <w:rFonts w:ascii="Arial" w:hAnsi="Arial" w:cs="Arial"/>
          <w:sz w:val="22"/>
          <w:szCs w:val="22"/>
          <w:lang w:val="en-US"/>
        </w:rPr>
      </w:pPr>
    </w:p>
    <w:p w:rsidR="004C4DBC" w:rsidRDefault="004C4DBC" w:rsidP="004C4DBC">
      <w:pPr>
        <w:rPr>
          <w:rFonts w:ascii="Arial" w:hAnsi="Arial" w:cs="Arial"/>
          <w:lang w:val="en-US"/>
        </w:rPr>
      </w:pPr>
    </w:p>
    <w:p w:rsidR="004C4DBC" w:rsidRDefault="004C4DBC" w:rsidP="004C4DBC">
      <w:pPr>
        <w:pStyle w:val="Heading2"/>
        <w:numPr>
          <w:ilvl w:val="0"/>
          <w:numId w:val="0"/>
        </w:numPr>
        <w:ind w:left="576"/>
        <w:rPr>
          <w:rFonts w:ascii="Arial" w:hAnsi="Arial" w:cs="Arial"/>
          <w:sz w:val="24"/>
          <w:szCs w:val="24"/>
        </w:rPr>
      </w:pPr>
      <w:bookmarkStart w:id="3" w:name="_Toc505696905"/>
      <w:r>
        <w:rPr>
          <w:rFonts w:ascii="Arial" w:hAnsi="Arial" w:cs="Arial"/>
          <w:sz w:val="24"/>
          <w:szCs w:val="24"/>
        </w:rPr>
        <w:t>Verifying the subject access request</w:t>
      </w:r>
      <w:bookmarkEnd w:id="3"/>
    </w:p>
    <w:p w:rsidR="004C4DBC" w:rsidRDefault="004C4DBC" w:rsidP="004C4DBC">
      <w:pPr>
        <w:rPr>
          <w:rFonts w:ascii="Arial" w:hAnsi="Arial" w:cs="Arial"/>
          <w:lang w:val="en-US"/>
        </w:rPr>
      </w:pPr>
    </w:p>
    <w:p w:rsidR="004C4DBC" w:rsidRDefault="004C4DBC" w:rsidP="004C4DBC">
      <w:pPr>
        <w:rPr>
          <w:rFonts w:ascii="Arial" w:hAnsi="Arial" w:cs="Arial"/>
          <w:sz w:val="22"/>
          <w:szCs w:val="22"/>
          <w:lang w:val="en-US"/>
        </w:rPr>
      </w:pPr>
      <w:r>
        <w:rPr>
          <w:rFonts w:ascii="Arial" w:hAnsi="Arial" w:cs="Arial"/>
          <w:sz w:val="22"/>
          <w:szCs w:val="22"/>
          <w:lang w:val="en-US"/>
        </w:rPr>
        <w:t xml:space="preserve">It is the responsibility of the data controller to verify all requests from data subjects using reasonable measures. The use of the practice Subject Access Request (SAR) form supports the data controller in verifying the request. In addition, the data controller is permitted to ask for evidence to identify the data subject, usually by using photographic identification, i.e. driving </w:t>
      </w:r>
      <w:proofErr w:type="spellStart"/>
      <w:r>
        <w:rPr>
          <w:rFonts w:ascii="Arial" w:hAnsi="Arial" w:cs="Arial"/>
          <w:sz w:val="22"/>
          <w:szCs w:val="22"/>
          <w:lang w:val="en-US"/>
        </w:rPr>
        <w:t>licence</w:t>
      </w:r>
      <w:proofErr w:type="spellEnd"/>
      <w:r>
        <w:rPr>
          <w:rFonts w:ascii="Arial" w:hAnsi="Arial" w:cs="Arial"/>
          <w:sz w:val="22"/>
          <w:szCs w:val="22"/>
          <w:lang w:val="en-US"/>
        </w:rPr>
        <w:t xml:space="preserve"> or passport.</w:t>
      </w:r>
    </w:p>
    <w:p w:rsidR="009C3FAA" w:rsidRDefault="009C3FAA" w:rsidP="004C4DBC">
      <w:pPr>
        <w:pStyle w:val="Heading2"/>
        <w:numPr>
          <w:ilvl w:val="0"/>
          <w:numId w:val="0"/>
        </w:numPr>
        <w:ind w:left="576"/>
        <w:rPr>
          <w:rFonts w:ascii="Arial" w:hAnsi="Arial" w:cs="Arial"/>
          <w:sz w:val="24"/>
          <w:szCs w:val="24"/>
        </w:rPr>
      </w:pPr>
      <w:bookmarkStart w:id="4" w:name="_Toc505696906"/>
    </w:p>
    <w:p w:rsidR="004C4DBC" w:rsidRDefault="004C4DBC" w:rsidP="004C4DBC">
      <w:pPr>
        <w:pStyle w:val="Heading2"/>
        <w:numPr>
          <w:ilvl w:val="0"/>
          <w:numId w:val="0"/>
        </w:numPr>
        <w:ind w:left="576"/>
        <w:rPr>
          <w:rFonts w:ascii="Arial" w:hAnsi="Arial" w:cs="Arial"/>
          <w:sz w:val="24"/>
          <w:szCs w:val="24"/>
        </w:rPr>
      </w:pPr>
      <w:r>
        <w:rPr>
          <w:rFonts w:ascii="Arial" w:hAnsi="Arial" w:cs="Arial"/>
          <w:sz w:val="24"/>
          <w:szCs w:val="24"/>
        </w:rPr>
        <w:t>E-requests</w:t>
      </w:r>
      <w:bookmarkEnd w:id="4"/>
    </w:p>
    <w:p w:rsidR="004C4DBC" w:rsidRDefault="004C4DBC" w:rsidP="004C4DBC">
      <w:pPr>
        <w:rPr>
          <w:rFonts w:ascii="Arial" w:hAnsi="Arial" w:cs="Arial"/>
          <w:lang w:val="en-US"/>
        </w:rPr>
      </w:pPr>
    </w:p>
    <w:p w:rsidR="004C4DBC" w:rsidRDefault="004C4DBC" w:rsidP="004C4DBC">
      <w:pPr>
        <w:rPr>
          <w:rFonts w:ascii="Arial" w:hAnsi="Arial" w:cs="Arial"/>
          <w:sz w:val="22"/>
          <w:szCs w:val="22"/>
          <w:lang w:val="en-US"/>
        </w:rPr>
      </w:pPr>
      <w:r>
        <w:rPr>
          <w:rFonts w:ascii="Arial" w:hAnsi="Arial" w:cs="Arial"/>
          <w:sz w:val="22"/>
          <w:szCs w:val="22"/>
          <w:lang w:val="en-US"/>
        </w:rPr>
        <w:t>The GDPR states that data subjects should be able to make access requests via email. The Old Fire Station Surgery is compliant with this and data subjects can complete an e-access form and submit the form via email.</w:t>
      </w:r>
      <w:r w:rsidR="009C3FAA">
        <w:rPr>
          <w:rFonts w:ascii="Arial" w:hAnsi="Arial" w:cs="Arial"/>
          <w:sz w:val="22"/>
          <w:szCs w:val="22"/>
          <w:lang w:val="en-US"/>
        </w:rPr>
        <w:t xml:space="preserve">  </w:t>
      </w:r>
    </w:p>
    <w:p w:rsidR="004C4DBC" w:rsidRDefault="004C4DBC" w:rsidP="004C4DBC">
      <w:pPr>
        <w:rPr>
          <w:rFonts w:ascii="Arial" w:hAnsi="Arial" w:cs="Arial"/>
          <w:sz w:val="22"/>
          <w:szCs w:val="22"/>
          <w:lang w:val="en-US"/>
        </w:rPr>
      </w:pPr>
    </w:p>
    <w:p w:rsidR="004C4DBC" w:rsidRDefault="004C4DBC" w:rsidP="004C4DBC">
      <w:pPr>
        <w:rPr>
          <w:rFonts w:ascii="Arial" w:hAnsi="Arial" w:cs="Arial"/>
          <w:sz w:val="22"/>
          <w:szCs w:val="22"/>
          <w:lang w:val="en-US"/>
        </w:rPr>
      </w:pPr>
      <w:r>
        <w:rPr>
          <w:rFonts w:ascii="Arial" w:hAnsi="Arial" w:cs="Arial"/>
          <w:sz w:val="22"/>
          <w:szCs w:val="22"/>
          <w:lang w:val="en-US"/>
        </w:rPr>
        <w:t>The data controller is to ensure that ID verification is requested and this should be stated in the response to the data subject upon receipt of the access request. It is the responsibility of the data controller to ensure they are satisfied that the person requesting the information is the data subject to whom the data applies.</w:t>
      </w:r>
    </w:p>
    <w:p w:rsidR="004C4DBC" w:rsidRDefault="004C4DBC" w:rsidP="004C4DBC">
      <w:pPr>
        <w:pStyle w:val="Heading2"/>
        <w:numPr>
          <w:ilvl w:val="0"/>
          <w:numId w:val="0"/>
        </w:numPr>
        <w:ind w:left="576"/>
        <w:rPr>
          <w:rFonts w:ascii="Arial" w:hAnsi="Arial" w:cs="Arial"/>
          <w:sz w:val="24"/>
          <w:szCs w:val="24"/>
        </w:rPr>
      </w:pPr>
      <w:bookmarkStart w:id="5" w:name="_Toc505696907"/>
      <w:r>
        <w:rPr>
          <w:rFonts w:ascii="Arial" w:hAnsi="Arial" w:cs="Arial"/>
          <w:sz w:val="24"/>
          <w:szCs w:val="24"/>
        </w:rPr>
        <w:t>Third-party requests</w:t>
      </w:r>
      <w:bookmarkEnd w:id="5"/>
    </w:p>
    <w:p w:rsidR="004C4DBC" w:rsidRDefault="004C4DBC" w:rsidP="004C4DBC">
      <w:pPr>
        <w:rPr>
          <w:lang w:val="en-US" w:eastAsia="en-US"/>
        </w:rPr>
      </w:pPr>
    </w:p>
    <w:p w:rsidR="004C4DBC" w:rsidRDefault="004C4DBC" w:rsidP="004C4DBC">
      <w:pPr>
        <w:rPr>
          <w:rFonts w:ascii="Arial" w:hAnsi="Arial" w:cs="Arial"/>
          <w:sz w:val="22"/>
          <w:szCs w:val="22"/>
          <w:lang w:val="en-US" w:eastAsia="en-US"/>
        </w:rPr>
      </w:pPr>
      <w:r>
        <w:rPr>
          <w:rFonts w:ascii="Arial" w:hAnsi="Arial" w:cs="Arial"/>
          <w:sz w:val="22"/>
          <w:szCs w:val="22"/>
          <w:lang w:val="en-US" w:eastAsia="en-US"/>
        </w:rPr>
        <w:t xml:space="preserve">Third-party requests will continue to be received following the introduction of the GDPR. The data controller must be able to satisfy themselves that the person requesting the data has the authority of the data subject.  </w:t>
      </w:r>
    </w:p>
    <w:p w:rsidR="004C4DBC" w:rsidRDefault="004C4DBC" w:rsidP="004C4DBC">
      <w:pPr>
        <w:rPr>
          <w:rFonts w:ascii="Arial" w:hAnsi="Arial" w:cs="Arial"/>
          <w:sz w:val="22"/>
          <w:szCs w:val="22"/>
          <w:lang w:val="en-US" w:eastAsia="en-US"/>
        </w:rPr>
      </w:pPr>
    </w:p>
    <w:p w:rsidR="004C4DBC" w:rsidRDefault="004C4DBC" w:rsidP="004C4DBC">
      <w:pPr>
        <w:rPr>
          <w:rFonts w:ascii="Arial" w:hAnsi="Arial" w:cs="Arial"/>
          <w:sz w:val="22"/>
          <w:szCs w:val="22"/>
          <w:lang w:val="en-US" w:eastAsia="en-US"/>
        </w:rPr>
      </w:pPr>
      <w:r>
        <w:rPr>
          <w:rFonts w:ascii="Arial" w:hAnsi="Arial" w:cs="Arial"/>
          <w:sz w:val="22"/>
          <w:szCs w:val="22"/>
          <w:lang w:val="en-US" w:eastAsia="en-US"/>
        </w:rPr>
        <w:t xml:space="preserve">The responsibility for providing the required authority rests with the third party and is usually in the form of a written statement or consent form, signed by the data subject.  </w:t>
      </w:r>
    </w:p>
    <w:p w:rsidR="00E370FF" w:rsidRDefault="00E370FF"/>
    <w:p w:rsidR="009C3FAA" w:rsidRDefault="009C3FAA"/>
    <w:p w:rsidR="009C3FAA" w:rsidRDefault="009C3FAA"/>
    <w:sectPr w:rsidR="009C3F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BC" w:rsidRDefault="004C4DBC" w:rsidP="004C4DBC">
      <w:r>
        <w:separator/>
      </w:r>
    </w:p>
  </w:endnote>
  <w:endnote w:type="continuationSeparator" w:id="0">
    <w:p w:rsidR="004C4DBC" w:rsidRDefault="004C4DBC" w:rsidP="004C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BC" w:rsidRDefault="004C4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BC" w:rsidRDefault="004C4D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BC" w:rsidRDefault="004C4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BC" w:rsidRDefault="004C4DBC" w:rsidP="004C4DBC">
      <w:r>
        <w:separator/>
      </w:r>
    </w:p>
  </w:footnote>
  <w:footnote w:type="continuationSeparator" w:id="0">
    <w:p w:rsidR="004C4DBC" w:rsidRDefault="004C4DBC" w:rsidP="004C4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BC" w:rsidRDefault="004C4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BC" w:rsidRDefault="004C4DBC">
    <w:pPr>
      <w:pStyle w:val="Header"/>
    </w:pPr>
    <w:r>
      <w:t xml:space="preserve">Updated </w:t>
    </w:r>
    <w:r w:rsidR="00341D28">
      <w:t>22/11/19</w:t>
    </w:r>
  </w:p>
  <w:p w:rsidR="004C4DBC" w:rsidRDefault="00341D28">
    <w:pPr>
      <w:pStyle w:val="Header"/>
    </w:pPr>
    <w:r>
      <w:t>By KW</w:t>
    </w:r>
  </w:p>
  <w:p w:rsidR="00341D28" w:rsidRDefault="00341D28">
    <w:pPr>
      <w:pStyle w:val="Header"/>
    </w:pPr>
    <w:r>
      <w:t xml:space="preserve">Review in </w:t>
    </w:r>
    <w:r>
      <w:t>1yr</w:t>
    </w: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BC" w:rsidRDefault="004C4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BC"/>
    <w:rsid w:val="00341D28"/>
    <w:rsid w:val="004C4DBC"/>
    <w:rsid w:val="009C3FAA"/>
    <w:rsid w:val="00E3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BC"/>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C4DBC"/>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4C4DBC"/>
    <w:pPr>
      <w:keepNext/>
      <w:keepLines/>
      <w:numPr>
        <w:ilvl w:val="1"/>
        <w:numId w:val="1"/>
      </w:numPr>
      <w:spacing w:before="360" w:line="256"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semiHidden/>
    <w:unhideWhenUsed/>
    <w:qFormat/>
    <w:rsid w:val="004C4DBC"/>
    <w:pPr>
      <w:keepNext/>
      <w:keepLines/>
      <w:numPr>
        <w:ilvl w:val="2"/>
        <w:numId w:val="1"/>
      </w:numPr>
      <w:spacing w:before="200" w:line="256"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semiHidden/>
    <w:unhideWhenUsed/>
    <w:qFormat/>
    <w:rsid w:val="004C4DBC"/>
    <w:pPr>
      <w:keepNext/>
      <w:keepLines/>
      <w:numPr>
        <w:ilvl w:val="3"/>
        <w:numId w:val="1"/>
      </w:numPr>
      <w:spacing w:before="200" w:line="256"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semiHidden/>
    <w:unhideWhenUsed/>
    <w:qFormat/>
    <w:rsid w:val="004C4DBC"/>
    <w:pPr>
      <w:keepNext/>
      <w:keepLines/>
      <w:numPr>
        <w:ilvl w:val="4"/>
        <w:numId w:val="1"/>
      </w:numPr>
      <w:spacing w:before="200" w:line="256"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semiHidden/>
    <w:unhideWhenUsed/>
    <w:qFormat/>
    <w:rsid w:val="004C4DBC"/>
    <w:pPr>
      <w:keepNext/>
      <w:keepLines/>
      <w:numPr>
        <w:ilvl w:val="5"/>
        <w:numId w:val="1"/>
      </w:numPr>
      <w:spacing w:before="200" w:line="256"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semiHidden/>
    <w:unhideWhenUsed/>
    <w:qFormat/>
    <w:rsid w:val="004C4DBC"/>
    <w:pPr>
      <w:keepNext/>
      <w:keepLines/>
      <w:numPr>
        <w:ilvl w:val="6"/>
        <w:numId w:val="1"/>
      </w:numPr>
      <w:spacing w:before="200" w:line="25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4C4DBC"/>
    <w:pPr>
      <w:keepNext/>
      <w:keepLines/>
      <w:numPr>
        <w:ilvl w:val="7"/>
        <w:numId w:val="1"/>
      </w:numPr>
      <w:spacing w:before="200" w:line="25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4DBC"/>
    <w:pPr>
      <w:keepNext/>
      <w:keepLines/>
      <w:numPr>
        <w:ilvl w:val="8"/>
        <w:numId w:val="1"/>
      </w:numPr>
      <w:spacing w:before="200" w:line="25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DBC"/>
    <w:rPr>
      <w:rFonts w:ascii="Arial" w:hAnsi="Arial" w:cs="Arial"/>
      <w:b/>
      <w:bCs/>
      <w:kern w:val="32"/>
      <w:sz w:val="32"/>
      <w:szCs w:val="32"/>
    </w:rPr>
  </w:style>
  <w:style w:type="character" w:customStyle="1" w:styleId="Heading2Char">
    <w:name w:val="Heading 2 Char"/>
    <w:basedOn w:val="DefaultParagraphFont"/>
    <w:link w:val="Heading2"/>
    <w:uiPriority w:val="9"/>
    <w:semiHidden/>
    <w:rsid w:val="004C4DB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semiHidden/>
    <w:rsid w:val="004C4DB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4C4DB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semiHidden/>
    <w:rsid w:val="004C4DB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semiHidden/>
    <w:rsid w:val="004C4DB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semiHidden/>
    <w:rsid w:val="004C4DB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4C4DB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C4DB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4C4DBC"/>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C4DBC"/>
    <w:pPr>
      <w:tabs>
        <w:tab w:val="center" w:pos="4513"/>
        <w:tab w:val="right" w:pos="9026"/>
      </w:tabs>
    </w:pPr>
  </w:style>
  <w:style w:type="character" w:customStyle="1" w:styleId="HeaderChar">
    <w:name w:val="Header Char"/>
    <w:basedOn w:val="DefaultParagraphFont"/>
    <w:link w:val="Header"/>
    <w:uiPriority w:val="99"/>
    <w:rsid w:val="004C4D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C4DBC"/>
    <w:pPr>
      <w:tabs>
        <w:tab w:val="center" w:pos="4513"/>
        <w:tab w:val="right" w:pos="9026"/>
      </w:tabs>
    </w:pPr>
  </w:style>
  <w:style w:type="character" w:customStyle="1" w:styleId="FooterChar">
    <w:name w:val="Footer Char"/>
    <w:basedOn w:val="DefaultParagraphFont"/>
    <w:link w:val="Footer"/>
    <w:uiPriority w:val="99"/>
    <w:rsid w:val="004C4DB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C4DBC"/>
    <w:rPr>
      <w:rFonts w:ascii="Tahoma" w:hAnsi="Tahoma" w:cs="Tahoma"/>
      <w:sz w:val="16"/>
      <w:szCs w:val="16"/>
    </w:rPr>
  </w:style>
  <w:style w:type="character" w:customStyle="1" w:styleId="BalloonTextChar">
    <w:name w:val="Balloon Text Char"/>
    <w:basedOn w:val="DefaultParagraphFont"/>
    <w:link w:val="BalloonText"/>
    <w:uiPriority w:val="99"/>
    <w:semiHidden/>
    <w:rsid w:val="004C4DB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BC"/>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C4DBC"/>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4C4DBC"/>
    <w:pPr>
      <w:keepNext/>
      <w:keepLines/>
      <w:numPr>
        <w:ilvl w:val="1"/>
        <w:numId w:val="1"/>
      </w:numPr>
      <w:spacing w:before="360" w:line="256"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semiHidden/>
    <w:unhideWhenUsed/>
    <w:qFormat/>
    <w:rsid w:val="004C4DBC"/>
    <w:pPr>
      <w:keepNext/>
      <w:keepLines/>
      <w:numPr>
        <w:ilvl w:val="2"/>
        <w:numId w:val="1"/>
      </w:numPr>
      <w:spacing w:before="200" w:line="256"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semiHidden/>
    <w:unhideWhenUsed/>
    <w:qFormat/>
    <w:rsid w:val="004C4DBC"/>
    <w:pPr>
      <w:keepNext/>
      <w:keepLines/>
      <w:numPr>
        <w:ilvl w:val="3"/>
        <w:numId w:val="1"/>
      </w:numPr>
      <w:spacing w:before="200" w:line="256"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semiHidden/>
    <w:unhideWhenUsed/>
    <w:qFormat/>
    <w:rsid w:val="004C4DBC"/>
    <w:pPr>
      <w:keepNext/>
      <w:keepLines/>
      <w:numPr>
        <w:ilvl w:val="4"/>
        <w:numId w:val="1"/>
      </w:numPr>
      <w:spacing w:before="200" w:line="256"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semiHidden/>
    <w:unhideWhenUsed/>
    <w:qFormat/>
    <w:rsid w:val="004C4DBC"/>
    <w:pPr>
      <w:keepNext/>
      <w:keepLines/>
      <w:numPr>
        <w:ilvl w:val="5"/>
        <w:numId w:val="1"/>
      </w:numPr>
      <w:spacing w:before="200" w:line="256"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semiHidden/>
    <w:unhideWhenUsed/>
    <w:qFormat/>
    <w:rsid w:val="004C4DBC"/>
    <w:pPr>
      <w:keepNext/>
      <w:keepLines/>
      <w:numPr>
        <w:ilvl w:val="6"/>
        <w:numId w:val="1"/>
      </w:numPr>
      <w:spacing w:before="200" w:line="25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4C4DBC"/>
    <w:pPr>
      <w:keepNext/>
      <w:keepLines/>
      <w:numPr>
        <w:ilvl w:val="7"/>
        <w:numId w:val="1"/>
      </w:numPr>
      <w:spacing w:before="200" w:line="25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4DBC"/>
    <w:pPr>
      <w:keepNext/>
      <w:keepLines/>
      <w:numPr>
        <w:ilvl w:val="8"/>
        <w:numId w:val="1"/>
      </w:numPr>
      <w:spacing w:before="200" w:line="25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DBC"/>
    <w:rPr>
      <w:rFonts w:ascii="Arial" w:hAnsi="Arial" w:cs="Arial"/>
      <w:b/>
      <w:bCs/>
      <w:kern w:val="32"/>
      <w:sz w:val="32"/>
      <w:szCs w:val="32"/>
    </w:rPr>
  </w:style>
  <w:style w:type="character" w:customStyle="1" w:styleId="Heading2Char">
    <w:name w:val="Heading 2 Char"/>
    <w:basedOn w:val="DefaultParagraphFont"/>
    <w:link w:val="Heading2"/>
    <w:uiPriority w:val="9"/>
    <w:semiHidden/>
    <w:rsid w:val="004C4DB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semiHidden/>
    <w:rsid w:val="004C4DB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4C4DB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semiHidden/>
    <w:rsid w:val="004C4DB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semiHidden/>
    <w:rsid w:val="004C4DB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semiHidden/>
    <w:rsid w:val="004C4DB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4C4DB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C4DB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4C4DBC"/>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C4DBC"/>
    <w:pPr>
      <w:tabs>
        <w:tab w:val="center" w:pos="4513"/>
        <w:tab w:val="right" w:pos="9026"/>
      </w:tabs>
    </w:pPr>
  </w:style>
  <w:style w:type="character" w:customStyle="1" w:styleId="HeaderChar">
    <w:name w:val="Header Char"/>
    <w:basedOn w:val="DefaultParagraphFont"/>
    <w:link w:val="Header"/>
    <w:uiPriority w:val="99"/>
    <w:rsid w:val="004C4D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C4DBC"/>
    <w:pPr>
      <w:tabs>
        <w:tab w:val="center" w:pos="4513"/>
        <w:tab w:val="right" w:pos="9026"/>
      </w:tabs>
    </w:pPr>
  </w:style>
  <w:style w:type="character" w:customStyle="1" w:styleId="FooterChar">
    <w:name w:val="Footer Char"/>
    <w:basedOn w:val="DefaultParagraphFont"/>
    <w:link w:val="Footer"/>
    <w:uiPriority w:val="99"/>
    <w:rsid w:val="004C4DB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C4DBC"/>
    <w:rPr>
      <w:rFonts w:ascii="Tahoma" w:hAnsi="Tahoma" w:cs="Tahoma"/>
      <w:sz w:val="16"/>
      <w:szCs w:val="16"/>
    </w:rPr>
  </w:style>
  <w:style w:type="character" w:customStyle="1" w:styleId="BalloonTextChar">
    <w:name w:val="Balloon Text Char"/>
    <w:basedOn w:val="DefaultParagraphFont"/>
    <w:link w:val="BalloonText"/>
    <w:uiPriority w:val="99"/>
    <w:semiHidden/>
    <w:rsid w:val="004C4DB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3</cp:revision>
  <dcterms:created xsi:type="dcterms:W3CDTF">2018-11-08T15:46:00Z</dcterms:created>
  <dcterms:modified xsi:type="dcterms:W3CDTF">2019-11-22T10:52:00Z</dcterms:modified>
</cp:coreProperties>
</file>